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61" w:rsidRPr="00380436" w:rsidRDefault="00AF7861" w:rsidP="00284351">
      <w:pPr>
        <w:rPr>
          <w:szCs w:val="28"/>
        </w:rPr>
      </w:pPr>
      <w:r w:rsidRPr="00380436">
        <w:rPr>
          <w:b/>
          <w:bCs/>
          <w:szCs w:val="28"/>
        </w:rPr>
        <w:t>Тема 1. Понятийный аппарат риск-менеджмента</w:t>
      </w:r>
      <w:r w:rsidRPr="00380436">
        <w:rPr>
          <w:szCs w:val="28"/>
        </w:rPr>
        <w:br/>
      </w:r>
    </w:p>
    <w:p w:rsidR="00167AE6" w:rsidRPr="00380436" w:rsidRDefault="00AF7861" w:rsidP="00284351">
      <w:pPr>
        <w:rPr>
          <w:iCs/>
          <w:color w:val="000000"/>
          <w:szCs w:val="28"/>
        </w:rPr>
      </w:pPr>
      <w:r w:rsidRPr="00380436">
        <w:rPr>
          <w:iCs/>
          <w:color w:val="000000"/>
          <w:szCs w:val="28"/>
        </w:rPr>
        <w:t>1.2 Классификация основных видов рисков</w:t>
      </w:r>
    </w:p>
    <w:p w:rsidR="00AF7861" w:rsidRPr="00435DF3" w:rsidRDefault="00AF7861" w:rsidP="00284351">
      <w:pPr>
        <w:rPr>
          <w:rFonts w:ascii="Arial" w:hAnsi="Arial" w:cs="Arial"/>
          <w:iCs/>
          <w:color w:val="000000"/>
          <w:szCs w:val="28"/>
        </w:rPr>
      </w:pPr>
    </w:p>
    <w:p w:rsidR="009A2812" w:rsidRPr="00BA7C50" w:rsidRDefault="009A2812" w:rsidP="00284351">
      <w:pPr>
        <w:pStyle w:val="a3"/>
        <w:ind w:left="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 xml:space="preserve">К настоящему времени в теории </w:t>
      </w:r>
      <w:r w:rsidR="00435DF3" w:rsidRPr="00BA7C50">
        <w:rPr>
          <w:rFonts w:ascii="Arial" w:hAnsi="Arial" w:cs="Arial"/>
          <w:szCs w:val="28"/>
        </w:rPr>
        <w:t xml:space="preserve">риска </w:t>
      </w:r>
      <w:r w:rsidR="006D14B3">
        <w:rPr>
          <w:rFonts w:ascii="Arial" w:hAnsi="Arial" w:cs="Arial"/>
          <w:szCs w:val="28"/>
        </w:rPr>
        <w:t>все еще</w:t>
      </w:r>
      <w:r w:rsidRPr="00BA7C50">
        <w:rPr>
          <w:rFonts w:ascii="Arial" w:hAnsi="Arial" w:cs="Arial"/>
          <w:szCs w:val="28"/>
        </w:rPr>
        <w:t xml:space="preserve"> не разработано общепринятой и одновременно исчерпывающей классификации рисков, </w:t>
      </w:r>
      <w:r w:rsidRPr="008B051B">
        <w:rPr>
          <w:rFonts w:ascii="Arial" w:hAnsi="Arial" w:cs="Arial"/>
          <w:szCs w:val="28"/>
        </w:rPr>
        <w:t>в связи с тем, что многообразие и сложность экономических отношений</w:t>
      </w:r>
      <w:r w:rsidRPr="00BA7C50">
        <w:rPr>
          <w:rFonts w:ascii="Arial" w:hAnsi="Arial" w:cs="Arial"/>
          <w:szCs w:val="28"/>
        </w:rPr>
        <w:t xml:space="preserve"> между хозяйствующими субъектами в условиях рынка определяют возможность возникновения существенного </w:t>
      </w:r>
      <w:r w:rsidR="00435DF3" w:rsidRPr="00BA7C50">
        <w:rPr>
          <w:rFonts w:ascii="Arial" w:hAnsi="Arial" w:cs="Arial"/>
          <w:szCs w:val="28"/>
        </w:rPr>
        <w:t>разнообразия</w:t>
      </w:r>
      <w:r w:rsidRPr="00BA7C50">
        <w:rPr>
          <w:rFonts w:ascii="Arial" w:hAnsi="Arial" w:cs="Arial"/>
          <w:szCs w:val="28"/>
        </w:rPr>
        <w:t xml:space="preserve"> риска.</w:t>
      </w:r>
    </w:p>
    <w:p w:rsidR="00B57B02" w:rsidRPr="00BA7C50" w:rsidRDefault="00B57B02" w:rsidP="00284351">
      <w:pPr>
        <w:pStyle w:val="a3"/>
        <w:ind w:left="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>В связи с этим исследователи применяют значительное количество критериев класс</w:t>
      </w:r>
      <w:r w:rsidR="00A76BBB">
        <w:rPr>
          <w:rFonts w:ascii="Arial" w:hAnsi="Arial" w:cs="Arial"/>
          <w:szCs w:val="28"/>
        </w:rPr>
        <w:t>ификации: причина возникновения,</w:t>
      </w:r>
      <w:r w:rsidRPr="00BA7C50">
        <w:rPr>
          <w:rFonts w:ascii="Arial" w:hAnsi="Arial" w:cs="Arial"/>
          <w:szCs w:val="28"/>
        </w:rPr>
        <w:t xml:space="preserve"> продолжительность действия</w:t>
      </w:r>
      <w:r w:rsidR="00A76BBB">
        <w:rPr>
          <w:rFonts w:ascii="Arial" w:hAnsi="Arial" w:cs="Arial"/>
          <w:szCs w:val="28"/>
        </w:rPr>
        <w:t>,</w:t>
      </w:r>
      <w:r w:rsidRPr="00BA7C50">
        <w:rPr>
          <w:rFonts w:ascii="Arial" w:hAnsi="Arial" w:cs="Arial"/>
          <w:szCs w:val="28"/>
        </w:rPr>
        <w:t xml:space="preserve"> типичность последствий</w:t>
      </w:r>
      <w:r w:rsidR="00A76BBB">
        <w:rPr>
          <w:rFonts w:ascii="Arial" w:hAnsi="Arial" w:cs="Arial"/>
          <w:szCs w:val="28"/>
        </w:rPr>
        <w:t>, специфика исходов, частота возникновения,</w:t>
      </w:r>
      <w:r w:rsidRPr="00BA7C50">
        <w:rPr>
          <w:rFonts w:ascii="Arial" w:hAnsi="Arial" w:cs="Arial"/>
          <w:szCs w:val="28"/>
        </w:rPr>
        <w:t xml:space="preserve"> существенность последствий и др. [1</w:t>
      </w:r>
      <w:r w:rsidR="00BA7C50" w:rsidRPr="00BA7C50">
        <w:rPr>
          <w:rFonts w:ascii="Arial" w:hAnsi="Arial" w:cs="Arial"/>
          <w:szCs w:val="28"/>
        </w:rPr>
        <w:t xml:space="preserve">, 2, </w:t>
      </w:r>
      <w:r w:rsidRPr="00BA7C50">
        <w:rPr>
          <w:rFonts w:ascii="Arial" w:hAnsi="Arial" w:cs="Arial"/>
          <w:szCs w:val="28"/>
        </w:rPr>
        <w:t>3].</w:t>
      </w:r>
    </w:p>
    <w:p w:rsidR="00AE3F8D" w:rsidRPr="00BA7C50" w:rsidRDefault="009A2812" w:rsidP="00284351">
      <w:pPr>
        <w:shd w:val="clear" w:color="auto" w:fill="FFFFFF"/>
        <w:ind w:right="3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 xml:space="preserve">Мы </w:t>
      </w:r>
      <w:r w:rsidR="00717429" w:rsidRPr="00BA7C50">
        <w:rPr>
          <w:rFonts w:ascii="Arial" w:hAnsi="Arial" w:cs="Arial"/>
          <w:szCs w:val="28"/>
        </w:rPr>
        <w:t xml:space="preserve">в рамках данного курса </w:t>
      </w:r>
      <w:r w:rsidRPr="00BA7C50">
        <w:rPr>
          <w:rFonts w:ascii="Arial" w:hAnsi="Arial" w:cs="Arial"/>
          <w:szCs w:val="28"/>
        </w:rPr>
        <w:t xml:space="preserve">будем опираться на </w:t>
      </w:r>
      <w:r w:rsidR="003E7357" w:rsidRPr="00BA7C50">
        <w:rPr>
          <w:rFonts w:ascii="Arial" w:hAnsi="Arial" w:cs="Arial"/>
          <w:szCs w:val="28"/>
        </w:rPr>
        <w:t>применяемую в рамках Базельского соглашения по капиталу 2004 г. [</w:t>
      </w:r>
      <w:r w:rsidR="00BA7C50">
        <w:rPr>
          <w:rFonts w:ascii="Arial" w:hAnsi="Arial" w:cs="Arial"/>
          <w:szCs w:val="28"/>
        </w:rPr>
        <w:t>4</w:t>
      </w:r>
      <w:r w:rsidR="003E7357" w:rsidRPr="00BA7C50">
        <w:rPr>
          <w:rFonts w:ascii="Arial" w:hAnsi="Arial" w:cs="Arial"/>
          <w:szCs w:val="28"/>
        </w:rPr>
        <w:t xml:space="preserve">] </w:t>
      </w:r>
      <w:r w:rsidRPr="00BA7C50">
        <w:rPr>
          <w:rFonts w:ascii="Arial" w:hAnsi="Arial" w:cs="Arial"/>
          <w:szCs w:val="28"/>
        </w:rPr>
        <w:t>типологию рисков</w:t>
      </w:r>
      <w:r w:rsidR="00AE3F8D" w:rsidRPr="00BA7C50">
        <w:rPr>
          <w:rFonts w:ascii="Arial" w:hAnsi="Arial" w:cs="Arial"/>
          <w:szCs w:val="28"/>
        </w:rPr>
        <w:t xml:space="preserve">, согласно которой выделяют: </w:t>
      </w:r>
      <w:r w:rsidR="003E7357" w:rsidRPr="00BA7C50">
        <w:rPr>
          <w:rFonts w:ascii="Arial" w:hAnsi="Arial" w:cs="Arial"/>
          <w:szCs w:val="28"/>
        </w:rPr>
        <w:t xml:space="preserve"> </w:t>
      </w:r>
    </w:p>
    <w:p w:rsidR="000567F4" w:rsidRDefault="00AE3F8D" w:rsidP="00284351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>рыночный риск</w:t>
      </w:r>
      <w:r w:rsidRPr="00BA7C50">
        <w:rPr>
          <w:rFonts w:ascii="Arial" w:hAnsi="Arial" w:cs="Arial"/>
          <w:szCs w:val="28"/>
          <w:lang w:val="en-US"/>
        </w:rPr>
        <w:t xml:space="preserve"> (marker risk)</w:t>
      </w:r>
      <w:r w:rsidRPr="00BA7C50">
        <w:rPr>
          <w:rFonts w:ascii="Arial" w:hAnsi="Arial" w:cs="Arial"/>
          <w:szCs w:val="28"/>
        </w:rPr>
        <w:t>;</w:t>
      </w:r>
      <w:r w:rsidR="000567F4" w:rsidRPr="000567F4">
        <w:rPr>
          <w:rFonts w:ascii="Arial" w:hAnsi="Arial" w:cs="Arial"/>
          <w:szCs w:val="28"/>
        </w:rPr>
        <w:t xml:space="preserve"> </w:t>
      </w:r>
    </w:p>
    <w:p w:rsidR="000567F4" w:rsidRPr="00BA7C50" w:rsidRDefault="000567F4" w:rsidP="00284351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 xml:space="preserve">кредитный риск </w:t>
      </w:r>
      <w:r w:rsidRPr="00BA7C50">
        <w:rPr>
          <w:rFonts w:ascii="Arial" w:hAnsi="Arial" w:cs="Arial"/>
          <w:szCs w:val="28"/>
          <w:lang w:val="en-US"/>
        </w:rPr>
        <w:t>(credit risk)</w:t>
      </w:r>
      <w:r w:rsidRPr="00BA7C50">
        <w:rPr>
          <w:rFonts w:ascii="Arial" w:hAnsi="Arial" w:cs="Arial"/>
          <w:szCs w:val="28"/>
        </w:rPr>
        <w:t xml:space="preserve">; </w:t>
      </w:r>
    </w:p>
    <w:p w:rsidR="00AE3F8D" w:rsidRPr="00BA7C50" w:rsidRDefault="00AE3F8D" w:rsidP="00284351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rFonts w:ascii="Arial" w:hAnsi="Arial" w:cs="Arial"/>
          <w:szCs w:val="28"/>
        </w:rPr>
      </w:pPr>
      <w:r w:rsidRPr="00BA7C50">
        <w:rPr>
          <w:rFonts w:ascii="Arial" w:hAnsi="Arial" w:cs="Arial"/>
          <w:szCs w:val="28"/>
        </w:rPr>
        <w:t>риск ликвидности</w:t>
      </w:r>
      <w:r w:rsidRPr="00BA7C50">
        <w:rPr>
          <w:rFonts w:ascii="Arial" w:hAnsi="Arial" w:cs="Arial"/>
          <w:szCs w:val="28"/>
          <w:lang w:val="en-US"/>
        </w:rPr>
        <w:t xml:space="preserve"> (liquidity</w:t>
      </w:r>
      <w:r w:rsidRPr="00BA7C50">
        <w:rPr>
          <w:rFonts w:ascii="Arial" w:hAnsi="Arial" w:cs="Arial"/>
          <w:szCs w:val="28"/>
        </w:rPr>
        <w:t xml:space="preserve"> </w:t>
      </w:r>
      <w:r w:rsidRPr="00BA7C50">
        <w:rPr>
          <w:rFonts w:ascii="Arial" w:hAnsi="Arial" w:cs="Arial"/>
          <w:iCs/>
          <w:szCs w:val="28"/>
          <w:lang w:val="en-US"/>
        </w:rPr>
        <w:t>risk)</w:t>
      </w:r>
      <w:r w:rsidRPr="00BA7C50">
        <w:rPr>
          <w:rFonts w:ascii="Arial" w:hAnsi="Arial" w:cs="Arial"/>
          <w:szCs w:val="28"/>
        </w:rPr>
        <w:t xml:space="preserve">; </w:t>
      </w:r>
    </w:p>
    <w:p w:rsidR="00AE3F8D" w:rsidRPr="00BA7C50" w:rsidRDefault="00AE3F8D" w:rsidP="00284351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right="15" w:firstLine="567"/>
        <w:jc w:val="both"/>
        <w:rPr>
          <w:rFonts w:ascii="Arial" w:hAnsi="Arial" w:cs="Arial"/>
          <w:i/>
          <w:szCs w:val="28"/>
        </w:rPr>
      </w:pPr>
      <w:r w:rsidRPr="00BA7C50">
        <w:rPr>
          <w:rFonts w:ascii="Arial" w:hAnsi="Arial" w:cs="Arial"/>
          <w:szCs w:val="28"/>
        </w:rPr>
        <w:t>операционный риск</w:t>
      </w:r>
      <w:r w:rsidRPr="00BA7C50">
        <w:rPr>
          <w:rFonts w:ascii="Arial" w:hAnsi="Arial" w:cs="Arial"/>
          <w:szCs w:val="28"/>
          <w:lang w:val="en-US"/>
        </w:rPr>
        <w:t xml:space="preserve"> (operational risk)</w:t>
      </w:r>
      <w:r w:rsidRPr="00BA7C50">
        <w:rPr>
          <w:rFonts w:ascii="Arial" w:hAnsi="Arial" w:cs="Arial"/>
          <w:szCs w:val="28"/>
        </w:rPr>
        <w:t xml:space="preserve">; </w:t>
      </w:r>
    </w:p>
    <w:p w:rsidR="00AE3F8D" w:rsidRPr="00BA7C50" w:rsidRDefault="00AE3F8D" w:rsidP="00284351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left="0" w:right="15" w:firstLine="567"/>
        <w:jc w:val="both"/>
        <w:rPr>
          <w:rFonts w:ascii="Arial" w:hAnsi="Arial" w:cs="Arial"/>
          <w:i/>
          <w:szCs w:val="28"/>
          <w:lang w:val="en-US"/>
        </w:rPr>
      </w:pPr>
      <w:r w:rsidRPr="00BA7C50">
        <w:rPr>
          <w:rFonts w:ascii="Arial" w:hAnsi="Arial" w:cs="Arial"/>
          <w:szCs w:val="28"/>
        </w:rPr>
        <w:t>риск</w:t>
      </w:r>
      <w:r w:rsidRPr="00BA7C50">
        <w:rPr>
          <w:rFonts w:ascii="Arial" w:hAnsi="Arial" w:cs="Arial"/>
          <w:szCs w:val="28"/>
          <w:lang w:val="en-US"/>
        </w:rPr>
        <w:t xml:space="preserve"> (</w:t>
      </w:r>
      <w:r w:rsidRPr="00BA7C50">
        <w:rPr>
          <w:rFonts w:ascii="Arial" w:hAnsi="Arial" w:cs="Arial"/>
          <w:szCs w:val="28"/>
        </w:rPr>
        <w:t>бизне</w:t>
      </w:r>
      <w:proofErr w:type="gramStart"/>
      <w:r w:rsidRPr="00BA7C50">
        <w:rPr>
          <w:rFonts w:ascii="Arial" w:hAnsi="Arial" w:cs="Arial"/>
          <w:szCs w:val="28"/>
        </w:rPr>
        <w:t>с</w:t>
      </w:r>
      <w:r w:rsidRPr="00BA7C50">
        <w:rPr>
          <w:rFonts w:ascii="Arial" w:hAnsi="Arial" w:cs="Arial"/>
          <w:szCs w:val="28"/>
          <w:lang w:val="en-US"/>
        </w:rPr>
        <w:t>-</w:t>
      </w:r>
      <w:proofErr w:type="gramEnd"/>
      <w:r w:rsidRPr="00BA7C50">
        <w:rPr>
          <w:rFonts w:ascii="Arial" w:hAnsi="Arial" w:cs="Arial"/>
          <w:szCs w:val="28"/>
          <w:lang w:val="en-US"/>
        </w:rPr>
        <w:t xml:space="preserve">) </w:t>
      </w:r>
      <w:r w:rsidRPr="00BA7C50">
        <w:rPr>
          <w:rFonts w:ascii="Arial" w:hAnsi="Arial" w:cs="Arial"/>
          <w:szCs w:val="28"/>
        </w:rPr>
        <w:t>со</w:t>
      </w:r>
      <w:r w:rsidRPr="00BA7C50">
        <w:rPr>
          <w:rFonts w:ascii="Arial" w:hAnsi="Arial" w:cs="Arial"/>
          <w:szCs w:val="28"/>
          <w:lang w:val="en-US"/>
        </w:rPr>
        <w:softHyphen/>
      </w:r>
      <w:r w:rsidRPr="00BA7C50">
        <w:rPr>
          <w:rFonts w:ascii="Arial" w:hAnsi="Arial" w:cs="Arial"/>
          <w:szCs w:val="28"/>
        </w:rPr>
        <w:t>бытия</w:t>
      </w:r>
      <w:r w:rsidRPr="00BA7C50">
        <w:rPr>
          <w:rFonts w:ascii="Arial" w:hAnsi="Arial" w:cs="Arial"/>
          <w:szCs w:val="28"/>
          <w:lang w:val="en-US"/>
        </w:rPr>
        <w:t xml:space="preserve"> (</w:t>
      </w:r>
      <w:r w:rsidRPr="00BA7C50">
        <w:rPr>
          <w:rFonts w:ascii="Arial" w:hAnsi="Arial" w:cs="Arial"/>
          <w:spacing w:val="-5"/>
          <w:szCs w:val="28"/>
          <w:lang w:val="en-US"/>
        </w:rPr>
        <w:t xml:space="preserve">(business-) </w:t>
      </w:r>
      <w:r w:rsidRPr="00BA7C50">
        <w:rPr>
          <w:rFonts w:ascii="Arial" w:hAnsi="Arial" w:cs="Arial"/>
          <w:iCs/>
          <w:spacing w:val="-5"/>
          <w:szCs w:val="28"/>
          <w:lang w:val="en-US"/>
        </w:rPr>
        <w:t>event risk</w:t>
      </w:r>
      <w:r w:rsidRPr="00BA7C50">
        <w:rPr>
          <w:rFonts w:ascii="Arial" w:hAnsi="Arial" w:cs="Arial"/>
          <w:szCs w:val="28"/>
          <w:lang w:val="en-US"/>
        </w:rPr>
        <w:t>).</w:t>
      </w:r>
      <w:r w:rsidRPr="00BA7C50">
        <w:rPr>
          <w:rFonts w:ascii="Arial" w:hAnsi="Arial" w:cs="Arial"/>
          <w:i/>
          <w:szCs w:val="28"/>
          <w:lang w:val="en-US"/>
        </w:rPr>
        <w:t xml:space="preserve"> </w:t>
      </w:r>
    </w:p>
    <w:p w:rsidR="009A2812" w:rsidRPr="00435DF3" w:rsidRDefault="009A2812" w:rsidP="00284351">
      <w:pPr>
        <w:shd w:val="clear" w:color="auto" w:fill="FFFFFF"/>
        <w:ind w:firstLine="567"/>
        <w:jc w:val="both"/>
        <w:rPr>
          <w:rFonts w:ascii="Arial" w:hAnsi="Arial" w:cs="Arial"/>
          <w:szCs w:val="28"/>
        </w:rPr>
      </w:pPr>
      <w:r w:rsidRPr="00380436">
        <w:rPr>
          <w:szCs w:val="28"/>
          <w:u w:val="single"/>
        </w:rPr>
        <w:t>Рыночный риск</w:t>
      </w:r>
      <w:r w:rsidR="000567F4">
        <w:rPr>
          <w:rFonts w:ascii="Arial" w:hAnsi="Arial" w:cs="Arial"/>
          <w:i/>
          <w:szCs w:val="28"/>
        </w:rPr>
        <w:t xml:space="preserve"> </w:t>
      </w:r>
      <w:r w:rsidR="00A16846" w:rsidRPr="00435DF3">
        <w:rPr>
          <w:rFonts w:ascii="Arial" w:hAnsi="Arial" w:cs="Arial"/>
          <w:szCs w:val="28"/>
        </w:rPr>
        <w:t>–</w:t>
      </w:r>
      <w:r w:rsidRPr="00435DF3">
        <w:rPr>
          <w:rFonts w:ascii="Arial" w:hAnsi="Arial" w:cs="Arial"/>
          <w:i/>
          <w:iCs/>
          <w:szCs w:val="28"/>
        </w:rPr>
        <w:t xml:space="preserve"> </w:t>
      </w:r>
      <w:r w:rsidRPr="00435DF3">
        <w:rPr>
          <w:rFonts w:ascii="Arial" w:hAnsi="Arial" w:cs="Arial"/>
          <w:szCs w:val="28"/>
        </w:rPr>
        <w:t xml:space="preserve">возможность отрицательного изменения стоимости активов в результате колебаний процентных ставок, курсов валют, цен акций, облигаций и товарных контрактов. </w:t>
      </w:r>
    </w:p>
    <w:p w:rsidR="009A2812" w:rsidRPr="00435DF3" w:rsidRDefault="009A2812" w:rsidP="00284351">
      <w:pPr>
        <w:shd w:val="clear" w:color="auto" w:fill="FFFFFF"/>
        <w:ind w:firstLine="567"/>
        <w:jc w:val="both"/>
        <w:rPr>
          <w:rFonts w:ascii="Arial" w:hAnsi="Arial" w:cs="Arial"/>
          <w:szCs w:val="28"/>
        </w:rPr>
      </w:pPr>
      <w:r w:rsidRPr="00435DF3">
        <w:rPr>
          <w:rFonts w:ascii="Arial" w:hAnsi="Arial" w:cs="Arial"/>
          <w:szCs w:val="28"/>
        </w:rPr>
        <w:t>Разновидностями рыночного риска являются, в частности, валютный и процентный риски.</w:t>
      </w:r>
    </w:p>
    <w:p w:rsidR="009A2812" w:rsidRPr="00435DF3" w:rsidRDefault="009A2812" w:rsidP="00284351">
      <w:pPr>
        <w:ind w:firstLine="567"/>
        <w:jc w:val="both"/>
        <w:rPr>
          <w:rFonts w:ascii="Arial" w:hAnsi="Arial" w:cs="Arial"/>
          <w:szCs w:val="28"/>
        </w:rPr>
      </w:pPr>
      <w:r w:rsidRPr="00227E1B">
        <w:rPr>
          <w:szCs w:val="28"/>
          <w:u w:val="single"/>
        </w:rPr>
        <w:t>Валютный риск</w:t>
      </w:r>
      <w:r w:rsidR="00380436">
        <w:rPr>
          <w:rFonts w:ascii="Arial" w:hAnsi="Arial" w:cs="Arial"/>
          <w:i/>
          <w:szCs w:val="28"/>
        </w:rPr>
        <w:t xml:space="preserve"> </w:t>
      </w:r>
      <w:r w:rsidRPr="00435DF3">
        <w:rPr>
          <w:rFonts w:ascii="Arial" w:hAnsi="Arial" w:cs="Arial"/>
          <w:szCs w:val="28"/>
        </w:rPr>
        <w:t>– возможность отрицательного изменения стоимости активов в связи с изменением курса одной иностранной валюты по отношению к другой валюте при проведении кредит</w:t>
      </w:r>
      <w:r w:rsidRPr="00435DF3">
        <w:rPr>
          <w:rFonts w:ascii="Arial" w:hAnsi="Arial" w:cs="Arial"/>
          <w:szCs w:val="28"/>
        </w:rPr>
        <w:softHyphen/>
        <w:t>ных и внешнеэкономических операций, а также при инвестировании средств за рубе</w:t>
      </w:r>
      <w:r w:rsidRPr="00435DF3">
        <w:rPr>
          <w:rFonts w:ascii="Arial" w:hAnsi="Arial" w:cs="Arial"/>
          <w:szCs w:val="28"/>
        </w:rPr>
        <w:softHyphen/>
        <w:t xml:space="preserve">жом. </w:t>
      </w:r>
    </w:p>
    <w:p w:rsidR="009A2812" w:rsidRPr="00435DF3" w:rsidRDefault="009A2812" w:rsidP="00284351">
      <w:pPr>
        <w:ind w:firstLine="567"/>
        <w:jc w:val="both"/>
        <w:rPr>
          <w:rFonts w:ascii="Arial" w:hAnsi="Arial" w:cs="Arial"/>
          <w:szCs w:val="28"/>
        </w:rPr>
      </w:pPr>
      <w:r w:rsidRPr="00E23482">
        <w:rPr>
          <w:szCs w:val="28"/>
          <w:u w:val="single"/>
        </w:rPr>
        <w:t>Процентный риск</w:t>
      </w:r>
      <w:r w:rsidR="00380436">
        <w:rPr>
          <w:rFonts w:ascii="Arial" w:hAnsi="Arial" w:cs="Arial"/>
          <w:i/>
          <w:szCs w:val="28"/>
        </w:rPr>
        <w:t xml:space="preserve"> </w:t>
      </w:r>
      <w:r w:rsidR="00A16846" w:rsidRPr="00435DF3">
        <w:rPr>
          <w:rFonts w:ascii="Arial" w:hAnsi="Arial" w:cs="Arial"/>
          <w:szCs w:val="28"/>
        </w:rPr>
        <w:t>–</w:t>
      </w:r>
      <w:r w:rsidRPr="00435DF3">
        <w:rPr>
          <w:rFonts w:ascii="Arial" w:hAnsi="Arial" w:cs="Arial"/>
          <w:szCs w:val="28"/>
        </w:rPr>
        <w:t xml:space="preserve"> это возможность отрицательного изменения стоимости активов в результате изменения процентных ста</w:t>
      </w:r>
      <w:r w:rsidRPr="00435DF3">
        <w:rPr>
          <w:rFonts w:ascii="Arial" w:hAnsi="Arial" w:cs="Arial"/>
          <w:szCs w:val="28"/>
        </w:rPr>
        <w:softHyphen/>
        <w:t xml:space="preserve">вок. </w:t>
      </w:r>
    </w:p>
    <w:p w:rsidR="009A2812" w:rsidRPr="00435DF3" w:rsidRDefault="009A2812" w:rsidP="00284351">
      <w:pPr>
        <w:ind w:firstLine="567"/>
        <w:jc w:val="both"/>
        <w:rPr>
          <w:rFonts w:ascii="Arial" w:hAnsi="Arial" w:cs="Arial"/>
          <w:szCs w:val="28"/>
        </w:rPr>
      </w:pPr>
      <w:r w:rsidRPr="00E23482">
        <w:rPr>
          <w:szCs w:val="28"/>
          <w:u w:val="single"/>
        </w:rPr>
        <w:t>Кредитный риск или риск контрагента</w:t>
      </w:r>
      <w:r w:rsidR="00227E1B">
        <w:rPr>
          <w:rFonts w:ascii="Arial" w:hAnsi="Arial" w:cs="Arial"/>
          <w:i/>
          <w:szCs w:val="28"/>
        </w:rPr>
        <w:t xml:space="preserve"> </w:t>
      </w:r>
      <w:r w:rsidR="00B976A1" w:rsidRPr="00435DF3">
        <w:rPr>
          <w:rFonts w:ascii="Arial" w:hAnsi="Arial" w:cs="Arial"/>
          <w:szCs w:val="28"/>
        </w:rPr>
        <w:t>–</w:t>
      </w:r>
      <w:r w:rsidRPr="00435DF3">
        <w:rPr>
          <w:rFonts w:ascii="Arial" w:hAnsi="Arial" w:cs="Arial"/>
          <w:szCs w:val="28"/>
        </w:rPr>
        <w:t xml:space="preserve"> возможность потерь в результате неспособности контрагентов (заемщиков) исполнять свои обязательства, в частности по выплате процентов и основ</w:t>
      </w:r>
      <w:r w:rsidRPr="00435DF3">
        <w:rPr>
          <w:rFonts w:ascii="Arial" w:hAnsi="Arial" w:cs="Arial"/>
          <w:szCs w:val="28"/>
        </w:rPr>
        <w:softHyphen/>
        <w:t>ной суммы долга в соответствии со сроками и условиями кредитного дого</w:t>
      </w:r>
      <w:r w:rsidRPr="00435DF3">
        <w:rPr>
          <w:rFonts w:ascii="Arial" w:hAnsi="Arial" w:cs="Arial"/>
          <w:szCs w:val="28"/>
        </w:rPr>
        <w:softHyphen/>
        <w:t>вора.  К кредитному риску относят также риск дефолта и риск досрочного погашения.</w:t>
      </w:r>
    </w:p>
    <w:p w:rsidR="009A2812" w:rsidRPr="00435DF3" w:rsidRDefault="009A2812" w:rsidP="00284351">
      <w:pPr>
        <w:shd w:val="clear" w:color="auto" w:fill="FFFFFF"/>
        <w:ind w:firstLine="567"/>
        <w:jc w:val="both"/>
        <w:rPr>
          <w:rFonts w:ascii="Arial" w:hAnsi="Arial" w:cs="Arial"/>
          <w:szCs w:val="28"/>
        </w:rPr>
      </w:pPr>
      <w:r w:rsidRPr="00227E1B">
        <w:rPr>
          <w:szCs w:val="28"/>
          <w:u w:val="single"/>
        </w:rPr>
        <w:t>Риск ликвидности</w:t>
      </w:r>
      <w:r w:rsidRPr="00435DF3">
        <w:rPr>
          <w:rFonts w:ascii="Arial" w:hAnsi="Arial" w:cs="Arial"/>
          <w:iCs/>
          <w:szCs w:val="28"/>
        </w:rPr>
        <w:t xml:space="preserve">: </w:t>
      </w:r>
      <w:r w:rsidRPr="00E23482">
        <w:rPr>
          <w:iCs/>
          <w:szCs w:val="28"/>
          <w:u w:val="single"/>
        </w:rPr>
        <w:t>р</w:t>
      </w:r>
      <w:r w:rsidRPr="00E23482">
        <w:rPr>
          <w:szCs w:val="28"/>
          <w:u w:val="single"/>
        </w:rPr>
        <w:t>иск рыночной ликвидности</w:t>
      </w:r>
      <w:r w:rsidRPr="00435DF3">
        <w:rPr>
          <w:rFonts w:ascii="Arial" w:hAnsi="Arial" w:cs="Arial"/>
          <w:szCs w:val="28"/>
        </w:rPr>
        <w:t xml:space="preserve"> – </w:t>
      </w:r>
      <w:r w:rsidRPr="00435DF3">
        <w:rPr>
          <w:rFonts w:ascii="Arial" w:hAnsi="Arial" w:cs="Arial"/>
          <w:spacing w:val="-4"/>
          <w:szCs w:val="28"/>
        </w:rPr>
        <w:t>возможность потерь, вызванных невозможнос</w:t>
      </w:r>
      <w:r w:rsidRPr="00435DF3">
        <w:rPr>
          <w:rFonts w:ascii="Arial" w:hAnsi="Arial" w:cs="Arial"/>
          <w:spacing w:val="-2"/>
          <w:szCs w:val="28"/>
        </w:rPr>
        <w:t>тью купить или продать актив в нужном количестве за достаточно ко</w:t>
      </w:r>
      <w:r w:rsidRPr="00435DF3">
        <w:rPr>
          <w:rFonts w:ascii="Arial" w:hAnsi="Arial" w:cs="Arial"/>
          <w:spacing w:val="-2"/>
          <w:szCs w:val="28"/>
        </w:rPr>
        <w:softHyphen/>
      </w:r>
      <w:r w:rsidRPr="00435DF3">
        <w:rPr>
          <w:rFonts w:ascii="Arial" w:hAnsi="Arial" w:cs="Arial"/>
          <w:spacing w:val="-4"/>
          <w:szCs w:val="28"/>
        </w:rPr>
        <w:t xml:space="preserve">роткий период времени в силу ухудшения рыночной конъюнктуры; </w:t>
      </w:r>
      <w:r w:rsidRPr="00E23482">
        <w:rPr>
          <w:spacing w:val="-4"/>
          <w:szCs w:val="28"/>
          <w:u w:val="single"/>
        </w:rPr>
        <w:t>риск балансовой ликвидности</w:t>
      </w:r>
      <w:r w:rsidRPr="00435DF3">
        <w:rPr>
          <w:rFonts w:ascii="Arial" w:hAnsi="Arial" w:cs="Arial"/>
          <w:spacing w:val="-4"/>
          <w:szCs w:val="28"/>
        </w:rPr>
        <w:t xml:space="preserve"> – возможность воз</w:t>
      </w:r>
      <w:r w:rsidRPr="00435DF3">
        <w:rPr>
          <w:rFonts w:ascii="Arial" w:hAnsi="Arial" w:cs="Arial"/>
          <w:spacing w:val="-4"/>
          <w:szCs w:val="28"/>
        </w:rPr>
        <w:softHyphen/>
      </w:r>
      <w:r w:rsidRPr="00435DF3">
        <w:rPr>
          <w:rFonts w:ascii="Arial" w:hAnsi="Arial" w:cs="Arial"/>
          <w:spacing w:val="-5"/>
          <w:szCs w:val="28"/>
        </w:rPr>
        <w:lastRenderedPageBreak/>
        <w:t xml:space="preserve">никновения дефицита </w:t>
      </w:r>
      <w:r w:rsidR="00B976A1">
        <w:rPr>
          <w:rFonts w:ascii="Arial" w:hAnsi="Arial" w:cs="Arial"/>
          <w:spacing w:val="-5"/>
          <w:szCs w:val="28"/>
        </w:rPr>
        <w:t>денежных</w:t>
      </w:r>
      <w:r w:rsidRPr="00435DF3">
        <w:rPr>
          <w:rFonts w:ascii="Arial" w:hAnsi="Arial" w:cs="Arial"/>
          <w:spacing w:val="-5"/>
          <w:szCs w:val="28"/>
        </w:rPr>
        <w:t xml:space="preserve"> средств или иных высоколиквидных </w:t>
      </w:r>
      <w:r w:rsidRPr="00435DF3">
        <w:rPr>
          <w:rFonts w:ascii="Arial" w:hAnsi="Arial" w:cs="Arial"/>
          <w:szCs w:val="28"/>
        </w:rPr>
        <w:t>активов для выполнения обязательств перед контрагентами.</w:t>
      </w:r>
    </w:p>
    <w:p w:rsidR="009A2812" w:rsidRPr="00435DF3" w:rsidRDefault="009A2812" w:rsidP="00284351">
      <w:pPr>
        <w:widowControl w:val="0"/>
        <w:shd w:val="clear" w:color="auto" w:fill="FFFFFF"/>
        <w:autoSpaceDE w:val="0"/>
        <w:autoSpaceDN w:val="0"/>
        <w:adjustRightInd w:val="0"/>
        <w:ind w:right="15" w:firstLine="567"/>
        <w:jc w:val="both"/>
        <w:rPr>
          <w:rFonts w:ascii="Arial" w:hAnsi="Arial" w:cs="Arial"/>
          <w:szCs w:val="28"/>
        </w:rPr>
      </w:pPr>
      <w:r w:rsidRPr="00E23482">
        <w:rPr>
          <w:szCs w:val="28"/>
          <w:u w:val="single"/>
        </w:rPr>
        <w:t>Операционный риск</w:t>
      </w:r>
      <w:r w:rsidR="00E23482">
        <w:rPr>
          <w:rFonts w:ascii="Arial" w:hAnsi="Arial" w:cs="Arial"/>
          <w:i/>
          <w:szCs w:val="28"/>
        </w:rPr>
        <w:t xml:space="preserve"> </w:t>
      </w:r>
      <w:r w:rsidR="001745FC" w:rsidRPr="00435DF3">
        <w:rPr>
          <w:rFonts w:ascii="Arial" w:hAnsi="Arial" w:cs="Arial"/>
          <w:szCs w:val="28"/>
        </w:rPr>
        <w:t>–</w:t>
      </w:r>
      <w:r w:rsidRPr="00435DF3">
        <w:rPr>
          <w:rFonts w:ascii="Arial" w:hAnsi="Arial" w:cs="Arial"/>
          <w:szCs w:val="28"/>
        </w:rPr>
        <w:t xml:space="preserve"> </w:t>
      </w:r>
      <w:r w:rsidRPr="00435DF3">
        <w:rPr>
          <w:rFonts w:ascii="Arial" w:hAnsi="Arial" w:cs="Arial"/>
          <w:bCs/>
          <w:szCs w:val="28"/>
        </w:rPr>
        <w:t>риск потерь, связанных с неадекватными или неудачными вн</w:t>
      </w:r>
      <w:r w:rsidR="00E23482">
        <w:rPr>
          <w:rFonts w:ascii="Arial" w:hAnsi="Arial" w:cs="Arial"/>
          <w:bCs/>
          <w:szCs w:val="28"/>
        </w:rPr>
        <w:t xml:space="preserve">утренними процессами, системами </w:t>
      </w:r>
      <w:r w:rsidRPr="00435DF3">
        <w:rPr>
          <w:rFonts w:ascii="Arial" w:hAnsi="Arial" w:cs="Arial"/>
          <w:bCs/>
          <w:szCs w:val="28"/>
        </w:rPr>
        <w:t>или человеческими ошибками, либо с внешними событиями</w:t>
      </w:r>
      <w:r w:rsidR="00862C7B">
        <w:rPr>
          <w:rFonts w:ascii="Arial" w:hAnsi="Arial" w:cs="Arial"/>
          <w:bCs/>
          <w:szCs w:val="28"/>
        </w:rPr>
        <w:t xml:space="preserve"> нефинансового характера</w:t>
      </w:r>
      <w:r w:rsidRPr="00435DF3">
        <w:rPr>
          <w:rFonts w:ascii="Arial" w:hAnsi="Arial" w:cs="Arial"/>
          <w:szCs w:val="28"/>
        </w:rPr>
        <w:t xml:space="preserve">. </w:t>
      </w:r>
    </w:p>
    <w:p w:rsidR="009A2812" w:rsidRPr="00435DF3" w:rsidRDefault="009A2812" w:rsidP="00284351">
      <w:pPr>
        <w:widowControl w:val="0"/>
        <w:shd w:val="clear" w:color="auto" w:fill="FFFFFF"/>
        <w:autoSpaceDE w:val="0"/>
        <w:autoSpaceDN w:val="0"/>
        <w:adjustRightInd w:val="0"/>
        <w:ind w:right="15" w:firstLine="567"/>
        <w:jc w:val="both"/>
        <w:rPr>
          <w:rFonts w:ascii="Arial" w:hAnsi="Arial" w:cs="Arial"/>
          <w:szCs w:val="28"/>
        </w:rPr>
      </w:pPr>
      <w:r w:rsidRPr="00862C7B">
        <w:rPr>
          <w:spacing w:val="-5"/>
          <w:szCs w:val="28"/>
          <w:u w:val="single"/>
        </w:rPr>
        <w:t>Риск (бизне</w:t>
      </w:r>
      <w:proofErr w:type="gramStart"/>
      <w:r w:rsidRPr="00862C7B">
        <w:rPr>
          <w:spacing w:val="-5"/>
          <w:szCs w:val="28"/>
          <w:u w:val="single"/>
        </w:rPr>
        <w:t>с-</w:t>
      </w:r>
      <w:proofErr w:type="gramEnd"/>
      <w:r w:rsidRPr="00862C7B">
        <w:rPr>
          <w:spacing w:val="-5"/>
          <w:szCs w:val="28"/>
          <w:u w:val="single"/>
        </w:rPr>
        <w:t>) события</w:t>
      </w:r>
      <w:r w:rsidR="00862C7B">
        <w:rPr>
          <w:rFonts w:ascii="Arial" w:hAnsi="Arial" w:cs="Arial"/>
          <w:i/>
          <w:spacing w:val="-5"/>
          <w:szCs w:val="28"/>
        </w:rPr>
        <w:t xml:space="preserve"> </w:t>
      </w:r>
      <w:r w:rsidR="001745FC" w:rsidRPr="00435DF3">
        <w:rPr>
          <w:rFonts w:ascii="Arial" w:hAnsi="Arial" w:cs="Arial"/>
          <w:szCs w:val="28"/>
        </w:rPr>
        <w:t>–</w:t>
      </w:r>
      <w:r w:rsidRPr="00435DF3">
        <w:rPr>
          <w:rFonts w:ascii="Arial" w:hAnsi="Arial" w:cs="Arial"/>
          <w:spacing w:val="-5"/>
          <w:szCs w:val="28"/>
        </w:rPr>
        <w:t xml:space="preserve"> возможность непред</w:t>
      </w:r>
      <w:r w:rsidRPr="00435DF3">
        <w:rPr>
          <w:rFonts w:ascii="Arial" w:hAnsi="Arial" w:cs="Arial"/>
          <w:spacing w:val="-6"/>
          <w:szCs w:val="28"/>
        </w:rPr>
        <w:t xml:space="preserve">виденных потерь вследствие форс-мажорных обстоятельств, изменений законодательства, действии государственных органов и т. д. К рискам </w:t>
      </w:r>
      <w:r w:rsidRPr="00435DF3">
        <w:rPr>
          <w:rFonts w:ascii="Arial" w:hAnsi="Arial" w:cs="Arial"/>
          <w:spacing w:val="-10"/>
          <w:szCs w:val="28"/>
        </w:rPr>
        <w:t xml:space="preserve">события обычно относят юридические, бухгалтерские и налоговые риски, </w:t>
      </w:r>
      <w:r w:rsidRPr="00435DF3">
        <w:rPr>
          <w:rFonts w:ascii="Arial" w:hAnsi="Arial" w:cs="Arial"/>
          <w:spacing w:val="-1"/>
          <w:szCs w:val="28"/>
        </w:rPr>
        <w:t>риск репутации, риск действий регулирующих органов и др.</w:t>
      </w:r>
    </w:p>
    <w:p w:rsidR="005B35B9" w:rsidRDefault="009A2812" w:rsidP="00284351">
      <w:pPr>
        <w:ind w:firstLine="567"/>
        <w:jc w:val="both"/>
        <w:rPr>
          <w:rFonts w:ascii="Arial" w:hAnsi="Arial" w:cs="Arial"/>
          <w:szCs w:val="28"/>
        </w:rPr>
      </w:pPr>
      <w:r w:rsidRPr="00435DF3">
        <w:rPr>
          <w:rFonts w:ascii="Arial" w:hAnsi="Arial" w:cs="Arial"/>
          <w:szCs w:val="28"/>
        </w:rPr>
        <w:t xml:space="preserve">Следует </w:t>
      </w:r>
      <w:r w:rsidR="00636F28">
        <w:rPr>
          <w:rFonts w:ascii="Arial" w:hAnsi="Arial" w:cs="Arial"/>
          <w:szCs w:val="28"/>
        </w:rPr>
        <w:t>заметить</w:t>
      </w:r>
      <w:r w:rsidRPr="00435DF3">
        <w:rPr>
          <w:rFonts w:ascii="Arial" w:hAnsi="Arial" w:cs="Arial"/>
          <w:szCs w:val="28"/>
        </w:rPr>
        <w:t xml:space="preserve">, что последние два вида риска наиболее трудно поддаются формализации и количественной оценке. </w:t>
      </w:r>
    </w:p>
    <w:p w:rsidR="00636F28" w:rsidRDefault="00155FEC" w:rsidP="00284351">
      <w:pPr>
        <w:ind w:firstLine="56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Вместе с тем, сталкиваясь с любой классификационной модель</w:t>
      </w:r>
      <w:r w:rsidR="000E192C">
        <w:rPr>
          <w:rFonts w:ascii="Arial" w:hAnsi="Arial" w:cs="Arial"/>
          <w:szCs w:val="28"/>
        </w:rPr>
        <w:t xml:space="preserve">ю, </w:t>
      </w:r>
      <w:r>
        <w:rPr>
          <w:rFonts w:ascii="Arial" w:hAnsi="Arial" w:cs="Arial"/>
          <w:szCs w:val="28"/>
        </w:rPr>
        <w:t xml:space="preserve"> следует помнить, что </w:t>
      </w:r>
      <w:r w:rsidR="0070271E">
        <w:rPr>
          <w:rFonts w:ascii="Arial" w:hAnsi="Arial" w:cs="Arial"/>
          <w:szCs w:val="28"/>
        </w:rPr>
        <w:t xml:space="preserve">она является не более чем моделью, пытающейся имитировать богатую </w:t>
      </w:r>
      <w:r w:rsidR="006D14B3">
        <w:rPr>
          <w:rFonts w:ascii="Arial" w:hAnsi="Arial" w:cs="Arial"/>
          <w:szCs w:val="28"/>
        </w:rPr>
        <w:t>разнообразием реальность.</w:t>
      </w:r>
    </w:p>
    <w:p w:rsidR="00636F28" w:rsidRDefault="00636F28" w:rsidP="00284351">
      <w:pPr>
        <w:ind w:firstLine="567"/>
        <w:jc w:val="both"/>
        <w:rPr>
          <w:rFonts w:ascii="Arial" w:hAnsi="Arial" w:cs="Arial"/>
          <w:szCs w:val="28"/>
        </w:rPr>
      </w:pPr>
    </w:p>
    <w:p w:rsidR="00FC6633" w:rsidRDefault="00FC6633" w:rsidP="00284351">
      <w:pPr>
        <w:ind w:firstLine="567"/>
        <w:jc w:val="both"/>
        <w:rPr>
          <w:rFonts w:ascii="Arial" w:hAnsi="Arial" w:cs="Arial"/>
          <w:szCs w:val="28"/>
        </w:rPr>
      </w:pPr>
    </w:p>
    <w:p w:rsidR="005B35B9" w:rsidRDefault="005B35B9" w:rsidP="00284351">
      <w:pPr>
        <w:ind w:firstLine="56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Литература</w:t>
      </w:r>
    </w:p>
    <w:p w:rsidR="005B35B9" w:rsidRPr="00DA1551" w:rsidRDefault="005B35B9" w:rsidP="00284351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hanging="720"/>
        <w:jc w:val="both"/>
        <w:rPr>
          <w:rFonts w:ascii="Arial" w:hAnsi="Arial" w:cs="Arial"/>
          <w:sz w:val="28"/>
          <w:szCs w:val="28"/>
        </w:rPr>
      </w:pPr>
      <w:r w:rsidRPr="00DA1551">
        <w:rPr>
          <w:rFonts w:ascii="Arial" w:hAnsi="Arial" w:cs="Arial"/>
          <w:sz w:val="28"/>
          <w:szCs w:val="28"/>
        </w:rPr>
        <w:t xml:space="preserve">Бланк, И.А. Управление финансовыми рисками </w:t>
      </w:r>
      <w:r w:rsidRPr="00DA1551">
        <w:rPr>
          <w:rFonts w:ascii="Arial" w:hAnsi="Arial" w:cs="Arial"/>
          <w:w w:val="101"/>
          <w:sz w:val="28"/>
          <w:szCs w:val="28"/>
        </w:rPr>
        <w:t>[Текст]</w:t>
      </w:r>
      <w:proofErr w:type="gramStart"/>
      <w:r w:rsidRPr="00DA1551">
        <w:rPr>
          <w:rFonts w:ascii="Arial" w:hAnsi="Arial" w:cs="Arial"/>
          <w:w w:val="101"/>
          <w:sz w:val="28"/>
          <w:szCs w:val="28"/>
        </w:rPr>
        <w:t xml:space="preserve"> :</w:t>
      </w:r>
      <w:proofErr w:type="gramEnd"/>
      <w:r w:rsidRPr="00DA1551">
        <w:rPr>
          <w:rFonts w:ascii="Arial" w:hAnsi="Arial" w:cs="Arial"/>
          <w:w w:val="101"/>
          <w:sz w:val="28"/>
          <w:szCs w:val="28"/>
        </w:rPr>
        <w:t xml:space="preserve"> монография </w:t>
      </w:r>
      <w:r w:rsidRPr="00DA1551">
        <w:rPr>
          <w:rFonts w:ascii="Arial" w:hAnsi="Arial" w:cs="Arial"/>
          <w:sz w:val="28"/>
          <w:szCs w:val="28"/>
        </w:rPr>
        <w:t>/ И.А. Бланк. – Киев</w:t>
      </w:r>
      <w:proofErr w:type="gramStart"/>
      <w:r w:rsidRPr="00DA1551">
        <w:rPr>
          <w:rFonts w:ascii="Arial" w:hAnsi="Arial" w:cs="Arial"/>
          <w:sz w:val="28"/>
          <w:szCs w:val="28"/>
        </w:rPr>
        <w:t xml:space="preserve"> :</w:t>
      </w:r>
      <w:proofErr w:type="gramEnd"/>
      <w:r w:rsidRPr="00DA1551">
        <w:rPr>
          <w:rFonts w:ascii="Arial" w:hAnsi="Arial" w:cs="Arial"/>
          <w:sz w:val="28"/>
          <w:szCs w:val="28"/>
        </w:rPr>
        <w:t xml:space="preserve"> Ника-Центр, 2005. – 600 </w:t>
      </w:r>
      <w:proofErr w:type="gramStart"/>
      <w:r w:rsidRPr="00DA1551">
        <w:rPr>
          <w:rFonts w:ascii="Arial" w:hAnsi="Arial" w:cs="Arial"/>
          <w:sz w:val="28"/>
          <w:szCs w:val="28"/>
        </w:rPr>
        <w:t>с</w:t>
      </w:r>
      <w:proofErr w:type="gramEnd"/>
      <w:r w:rsidRPr="00DA1551">
        <w:rPr>
          <w:rFonts w:ascii="Arial" w:hAnsi="Arial" w:cs="Arial"/>
          <w:sz w:val="28"/>
          <w:szCs w:val="28"/>
        </w:rPr>
        <w:t>.</w:t>
      </w:r>
    </w:p>
    <w:p w:rsidR="005B35B9" w:rsidRPr="00DA1551" w:rsidRDefault="005B35B9" w:rsidP="0028435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ind w:right="10" w:hanging="720"/>
        <w:jc w:val="both"/>
        <w:rPr>
          <w:rFonts w:ascii="Arial" w:hAnsi="Arial" w:cs="Arial"/>
          <w:szCs w:val="28"/>
        </w:rPr>
      </w:pPr>
      <w:r w:rsidRPr="00DA1551">
        <w:rPr>
          <w:rFonts w:ascii="Arial" w:hAnsi="Arial" w:cs="Arial"/>
          <w:szCs w:val="28"/>
        </w:rPr>
        <w:t xml:space="preserve">Чернова, Г.В. Управление рисками </w:t>
      </w:r>
      <w:r w:rsidRPr="00DA1551">
        <w:rPr>
          <w:rFonts w:ascii="Arial" w:hAnsi="Arial" w:cs="Arial"/>
          <w:w w:val="101"/>
          <w:szCs w:val="28"/>
        </w:rPr>
        <w:t xml:space="preserve">[Текст] </w:t>
      </w:r>
      <w:r w:rsidRPr="00DA1551">
        <w:rPr>
          <w:rFonts w:ascii="Arial" w:hAnsi="Arial" w:cs="Arial"/>
          <w:szCs w:val="28"/>
        </w:rPr>
        <w:t>: учеб</w:t>
      </w:r>
      <w:proofErr w:type="gramStart"/>
      <w:r w:rsidRPr="00DA1551">
        <w:rPr>
          <w:rFonts w:ascii="Arial" w:hAnsi="Arial" w:cs="Arial"/>
          <w:szCs w:val="28"/>
        </w:rPr>
        <w:t>.</w:t>
      </w:r>
      <w:proofErr w:type="gramEnd"/>
      <w:r w:rsidRPr="00DA1551">
        <w:rPr>
          <w:rFonts w:ascii="Arial" w:hAnsi="Arial" w:cs="Arial"/>
          <w:szCs w:val="28"/>
        </w:rPr>
        <w:t xml:space="preserve"> </w:t>
      </w:r>
      <w:proofErr w:type="gramStart"/>
      <w:r w:rsidRPr="00DA1551">
        <w:rPr>
          <w:rFonts w:ascii="Arial" w:hAnsi="Arial" w:cs="Arial"/>
          <w:szCs w:val="28"/>
        </w:rPr>
        <w:t>п</w:t>
      </w:r>
      <w:proofErr w:type="gramEnd"/>
      <w:r w:rsidRPr="00DA1551">
        <w:rPr>
          <w:rFonts w:ascii="Arial" w:hAnsi="Arial" w:cs="Arial"/>
          <w:szCs w:val="28"/>
        </w:rPr>
        <w:t>особие / Г.В. Чернова, А.А. Кудрявцев. – М.</w:t>
      </w:r>
      <w:proofErr w:type="gramStart"/>
      <w:r w:rsidRPr="00DA1551">
        <w:rPr>
          <w:rFonts w:ascii="Arial" w:hAnsi="Arial" w:cs="Arial"/>
          <w:szCs w:val="28"/>
        </w:rPr>
        <w:t xml:space="preserve"> :</w:t>
      </w:r>
      <w:proofErr w:type="gramEnd"/>
      <w:r w:rsidRPr="00DA1551">
        <w:rPr>
          <w:rFonts w:ascii="Arial" w:hAnsi="Arial" w:cs="Arial"/>
          <w:szCs w:val="28"/>
        </w:rPr>
        <w:t xml:space="preserve"> Проспект, 2009. – 160 с.</w:t>
      </w:r>
    </w:p>
    <w:p w:rsidR="00BA7C50" w:rsidRPr="00DA1551" w:rsidRDefault="00BA7C50" w:rsidP="00284351">
      <w:pPr>
        <w:pStyle w:val="a4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hanging="720"/>
        <w:jc w:val="both"/>
        <w:rPr>
          <w:rFonts w:ascii="Arial" w:hAnsi="Arial" w:cs="Arial"/>
          <w:sz w:val="28"/>
          <w:szCs w:val="28"/>
        </w:rPr>
      </w:pPr>
      <w:r w:rsidRPr="00DA1551">
        <w:rPr>
          <w:rFonts w:ascii="Arial" w:hAnsi="Arial" w:cs="Arial"/>
          <w:sz w:val="28"/>
          <w:szCs w:val="28"/>
        </w:rPr>
        <w:t xml:space="preserve">Шапкин, А.С. Теория риска и моделирование рисковых ситуаций [Текст] : учебник / А.С. Шапкин, В.А. Шапкин. – 3-е изд. – М. : </w:t>
      </w:r>
      <w:proofErr w:type="spellStart"/>
      <w:r w:rsidRPr="00DA1551">
        <w:rPr>
          <w:rFonts w:ascii="Arial" w:hAnsi="Arial" w:cs="Arial"/>
          <w:sz w:val="28"/>
          <w:szCs w:val="28"/>
        </w:rPr>
        <w:t>Издат.-торг</w:t>
      </w:r>
      <w:proofErr w:type="spellEnd"/>
      <w:r w:rsidRPr="00DA1551">
        <w:rPr>
          <w:rFonts w:ascii="Arial" w:hAnsi="Arial" w:cs="Arial"/>
          <w:sz w:val="28"/>
          <w:szCs w:val="28"/>
        </w:rPr>
        <w:t>. корпорация Дашков и</w:t>
      </w:r>
      <w:proofErr w:type="gramStart"/>
      <w:r w:rsidRPr="00DA1551">
        <w:rPr>
          <w:rFonts w:ascii="Arial" w:hAnsi="Arial" w:cs="Arial"/>
          <w:sz w:val="28"/>
          <w:szCs w:val="28"/>
        </w:rPr>
        <w:t xml:space="preserve"> К</w:t>
      </w:r>
      <w:proofErr w:type="gramEnd"/>
      <w:r w:rsidRPr="00DA1551">
        <w:rPr>
          <w:rFonts w:ascii="Arial" w:hAnsi="Arial" w:cs="Arial"/>
          <w:sz w:val="28"/>
          <w:szCs w:val="28"/>
          <w:vertAlign w:val="superscript"/>
        </w:rPr>
        <w:t>о</w:t>
      </w:r>
      <w:r w:rsidRPr="00DA1551">
        <w:rPr>
          <w:rFonts w:ascii="Arial" w:hAnsi="Arial" w:cs="Arial"/>
          <w:sz w:val="28"/>
          <w:szCs w:val="28"/>
        </w:rPr>
        <w:t>, 2008. – 880 с.</w:t>
      </w:r>
    </w:p>
    <w:p w:rsidR="00BA7C50" w:rsidRPr="00DA1551" w:rsidRDefault="00BA7C50" w:rsidP="0028435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right="10" w:hanging="720"/>
        <w:jc w:val="both"/>
        <w:rPr>
          <w:rFonts w:ascii="Arial" w:hAnsi="Arial" w:cs="Arial"/>
          <w:szCs w:val="28"/>
          <w:lang w:val="en-US"/>
        </w:rPr>
      </w:pPr>
      <w:r w:rsidRPr="00DA1551">
        <w:rPr>
          <w:rFonts w:ascii="Arial" w:hAnsi="Arial" w:cs="Arial"/>
          <w:szCs w:val="28"/>
          <w:lang w:val="en-US"/>
        </w:rPr>
        <w:t>International convergence of capital measurement and capital standards. A Revised framework. Comprehensive version [Electronic resource] /</w:t>
      </w:r>
      <w:r w:rsidRPr="00DA1551">
        <w:rPr>
          <w:rFonts w:ascii="Arial" w:hAnsi="Arial" w:cs="Arial"/>
          <w:szCs w:val="28"/>
          <w:lang w:val="en-US" w:eastAsia="en-US"/>
        </w:rPr>
        <w:t xml:space="preserve"> Basel Committee on Banking Supervision. </w:t>
      </w:r>
      <w:r w:rsidRPr="00DA1551">
        <w:rPr>
          <w:rFonts w:ascii="Arial" w:hAnsi="Arial" w:cs="Arial"/>
          <w:szCs w:val="28"/>
          <w:lang w:val="en-US"/>
        </w:rPr>
        <w:t xml:space="preserve">– </w:t>
      </w:r>
      <w:proofErr w:type="gramStart"/>
      <w:r w:rsidRPr="00DA1551">
        <w:rPr>
          <w:rFonts w:ascii="Arial" w:hAnsi="Arial" w:cs="Arial"/>
          <w:szCs w:val="28"/>
          <w:lang w:val="en-US"/>
        </w:rPr>
        <w:t>Basel :</w:t>
      </w:r>
      <w:proofErr w:type="gramEnd"/>
      <w:r w:rsidRPr="00DA1551">
        <w:rPr>
          <w:rFonts w:ascii="Arial" w:hAnsi="Arial" w:cs="Arial"/>
          <w:szCs w:val="28"/>
          <w:lang w:val="en-US"/>
        </w:rPr>
        <w:t xml:space="preserve"> </w:t>
      </w:r>
      <w:r w:rsidRPr="00DA1551">
        <w:rPr>
          <w:rFonts w:ascii="Arial" w:hAnsi="Arial" w:cs="Arial"/>
          <w:szCs w:val="28"/>
          <w:lang w:val="en-US" w:eastAsia="en-US"/>
        </w:rPr>
        <w:t xml:space="preserve">Bank for International Settlements Press &amp; Communications, </w:t>
      </w:r>
      <w:r w:rsidRPr="00DA1551">
        <w:rPr>
          <w:rFonts w:ascii="Arial" w:hAnsi="Arial" w:cs="Arial"/>
          <w:szCs w:val="28"/>
          <w:lang w:val="en-US"/>
        </w:rPr>
        <w:t xml:space="preserve">2006. – 347 p. – Mode of </w:t>
      </w:r>
      <w:proofErr w:type="gramStart"/>
      <w:r w:rsidRPr="00DA1551">
        <w:rPr>
          <w:rFonts w:ascii="Arial" w:hAnsi="Arial" w:cs="Arial"/>
          <w:szCs w:val="28"/>
          <w:lang w:val="en-US"/>
        </w:rPr>
        <w:t>access :</w:t>
      </w:r>
      <w:proofErr w:type="gramEnd"/>
      <w:r w:rsidRPr="00DA1551">
        <w:rPr>
          <w:rFonts w:ascii="Arial" w:hAnsi="Arial" w:cs="Arial"/>
          <w:szCs w:val="28"/>
          <w:lang w:val="en-US" w:eastAsia="en-US"/>
        </w:rPr>
        <w:t xml:space="preserve"> </w:t>
      </w:r>
      <w:hyperlink r:id="rId5" w:history="1">
        <w:r w:rsidRPr="00DA1551">
          <w:rPr>
            <w:rStyle w:val="a5"/>
            <w:rFonts w:ascii="Arial" w:hAnsi="Arial" w:cs="Arial"/>
            <w:szCs w:val="28"/>
            <w:lang w:val="en-US"/>
          </w:rPr>
          <w:t>http://www.bis.or</w:t>
        </w:r>
        <w:r w:rsidRPr="00DA1551">
          <w:rPr>
            <w:rStyle w:val="a5"/>
            <w:rFonts w:ascii="Arial" w:hAnsi="Arial" w:cs="Arial"/>
            <w:szCs w:val="28"/>
            <w:lang w:val="en-US"/>
          </w:rPr>
          <w:t>g</w:t>
        </w:r>
        <w:r w:rsidRPr="00DA1551">
          <w:rPr>
            <w:rStyle w:val="a5"/>
            <w:rFonts w:ascii="Arial" w:hAnsi="Arial" w:cs="Arial"/>
            <w:szCs w:val="28"/>
            <w:lang w:val="en-US"/>
          </w:rPr>
          <w:t>/publ/bcbs128.pdf</w:t>
        </w:r>
      </w:hyperlink>
      <w:r w:rsidRPr="00DA1551">
        <w:rPr>
          <w:rFonts w:ascii="Arial" w:hAnsi="Arial" w:cs="Arial"/>
          <w:szCs w:val="28"/>
          <w:lang w:val="en-US" w:eastAsia="en-US"/>
        </w:rPr>
        <w:t xml:space="preserve">. </w:t>
      </w:r>
    </w:p>
    <w:p w:rsidR="00BA7C50" w:rsidRPr="00BA7C50" w:rsidRDefault="00BA7C50" w:rsidP="00284351">
      <w:pPr>
        <w:pStyle w:val="a4"/>
        <w:tabs>
          <w:tab w:val="left" w:pos="851"/>
        </w:tabs>
        <w:spacing w:before="0" w:beforeAutospacing="0" w:after="0" w:afterAutospacing="0"/>
        <w:ind w:left="72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F7861" w:rsidRPr="00BA7C50" w:rsidRDefault="00AF7861" w:rsidP="00284351">
      <w:pPr>
        <w:rPr>
          <w:rFonts w:ascii="Arial" w:hAnsi="Arial" w:cs="Arial"/>
          <w:szCs w:val="28"/>
          <w:lang w:val="en-US"/>
        </w:rPr>
      </w:pPr>
    </w:p>
    <w:sectPr w:rsidR="00AF7861" w:rsidRPr="00BA7C50" w:rsidSect="00284351">
      <w:pgSz w:w="11906" w:h="16838"/>
      <w:pgMar w:top="1134" w:right="1134" w:bottom="113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7EF1"/>
    <w:multiLevelType w:val="hybridMultilevel"/>
    <w:tmpl w:val="60B22AD4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5E6C4C"/>
    <w:multiLevelType w:val="hybridMultilevel"/>
    <w:tmpl w:val="6700E844"/>
    <w:lvl w:ilvl="0" w:tplc="FE8AA53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F7861"/>
    <w:rsid w:val="00000758"/>
    <w:rsid w:val="000010AC"/>
    <w:rsid w:val="000031A5"/>
    <w:rsid w:val="000054F2"/>
    <w:rsid w:val="000062DD"/>
    <w:rsid w:val="00010A5D"/>
    <w:rsid w:val="000137B5"/>
    <w:rsid w:val="00016267"/>
    <w:rsid w:val="00020A87"/>
    <w:rsid w:val="00022257"/>
    <w:rsid w:val="00024F76"/>
    <w:rsid w:val="00025E05"/>
    <w:rsid w:val="0002680C"/>
    <w:rsid w:val="00026F4A"/>
    <w:rsid w:val="00032A3B"/>
    <w:rsid w:val="00040098"/>
    <w:rsid w:val="00046245"/>
    <w:rsid w:val="0005223B"/>
    <w:rsid w:val="0005387C"/>
    <w:rsid w:val="000567D6"/>
    <w:rsid w:val="000567F4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922CA"/>
    <w:rsid w:val="000953F3"/>
    <w:rsid w:val="000A26F7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E76"/>
    <w:rsid w:val="000D505E"/>
    <w:rsid w:val="000E192C"/>
    <w:rsid w:val="000E2933"/>
    <w:rsid w:val="000E5886"/>
    <w:rsid w:val="000F2D60"/>
    <w:rsid w:val="00102ADE"/>
    <w:rsid w:val="00104A59"/>
    <w:rsid w:val="00107CE1"/>
    <w:rsid w:val="00111E23"/>
    <w:rsid w:val="00117C4A"/>
    <w:rsid w:val="00134990"/>
    <w:rsid w:val="00135072"/>
    <w:rsid w:val="00151CE0"/>
    <w:rsid w:val="00154436"/>
    <w:rsid w:val="00155FEC"/>
    <w:rsid w:val="0016699E"/>
    <w:rsid w:val="001669AD"/>
    <w:rsid w:val="00166F73"/>
    <w:rsid w:val="00167AE6"/>
    <w:rsid w:val="00171841"/>
    <w:rsid w:val="00171BA2"/>
    <w:rsid w:val="001745FC"/>
    <w:rsid w:val="0017627E"/>
    <w:rsid w:val="00185143"/>
    <w:rsid w:val="0018763E"/>
    <w:rsid w:val="00191F6B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E40E6"/>
    <w:rsid w:val="001E41F0"/>
    <w:rsid w:val="001E5199"/>
    <w:rsid w:val="001E63B9"/>
    <w:rsid w:val="001F50DC"/>
    <w:rsid w:val="001F5C83"/>
    <w:rsid w:val="002165FA"/>
    <w:rsid w:val="00216F25"/>
    <w:rsid w:val="00227E1B"/>
    <w:rsid w:val="0023043B"/>
    <w:rsid w:val="00230639"/>
    <w:rsid w:val="00230859"/>
    <w:rsid w:val="00231897"/>
    <w:rsid w:val="002329E6"/>
    <w:rsid w:val="002353F6"/>
    <w:rsid w:val="00235D0F"/>
    <w:rsid w:val="00236F41"/>
    <w:rsid w:val="00242755"/>
    <w:rsid w:val="0025643F"/>
    <w:rsid w:val="0025677E"/>
    <w:rsid w:val="002658A9"/>
    <w:rsid w:val="0026791F"/>
    <w:rsid w:val="00284351"/>
    <w:rsid w:val="00285027"/>
    <w:rsid w:val="00287B29"/>
    <w:rsid w:val="002909DD"/>
    <w:rsid w:val="00294B26"/>
    <w:rsid w:val="002B1CE0"/>
    <w:rsid w:val="002C58CD"/>
    <w:rsid w:val="002C6E5E"/>
    <w:rsid w:val="002D032F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0436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E7357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35DF3"/>
    <w:rsid w:val="0044001D"/>
    <w:rsid w:val="00446A60"/>
    <w:rsid w:val="004478FF"/>
    <w:rsid w:val="00450EF2"/>
    <w:rsid w:val="00451833"/>
    <w:rsid w:val="0046223C"/>
    <w:rsid w:val="00465902"/>
    <w:rsid w:val="00466BDC"/>
    <w:rsid w:val="00467FF1"/>
    <w:rsid w:val="004740AC"/>
    <w:rsid w:val="0047439B"/>
    <w:rsid w:val="00474E69"/>
    <w:rsid w:val="00480B0A"/>
    <w:rsid w:val="00480EA8"/>
    <w:rsid w:val="004819B8"/>
    <w:rsid w:val="00481CE6"/>
    <w:rsid w:val="004B0138"/>
    <w:rsid w:val="004B4E36"/>
    <w:rsid w:val="004C0D6A"/>
    <w:rsid w:val="004C20D2"/>
    <w:rsid w:val="004C4158"/>
    <w:rsid w:val="004C4F1A"/>
    <w:rsid w:val="004C5ED8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2196A"/>
    <w:rsid w:val="005224F1"/>
    <w:rsid w:val="00523788"/>
    <w:rsid w:val="005377DD"/>
    <w:rsid w:val="00544611"/>
    <w:rsid w:val="00544DDD"/>
    <w:rsid w:val="005479CA"/>
    <w:rsid w:val="00550685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5B9"/>
    <w:rsid w:val="005B397A"/>
    <w:rsid w:val="005B646B"/>
    <w:rsid w:val="005C2E10"/>
    <w:rsid w:val="005D2806"/>
    <w:rsid w:val="005E2099"/>
    <w:rsid w:val="005E23EE"/>
    <w:rsid w:val="005E3031"/>
    <w:rsid w:val="005F3C2E"/>
    <w:rsid w:val="005F446A"/>
    <w:rsid w:val="005F4E95"/>
    <w:rsid w:val="006006A7"/>
    <w:rsid w:val="00605F1C"/>
    <w:rsid w:val="0061068D"/>
    <w:rsid w:val="00630EB2"/>
    <w:rsid w:val="006361C1"/>
    <w:rsid w:val="00636F28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D14B3"/>
    <w:rsid w:val="006F277F"/>
    <w:rsid w:val="006F6C3D"/>
    <w:rsid w:val="00701B8D"/>
    <w:rsid w:val="0070271E"/>
    <w:rsid w:val="00702F7A"/>
    <w:rsid w:val="00712505"/>
    <w:rsid w:val="00717429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91FD4"/>
    <w:rsid w:val="00794DBD"/>
    <w:rsid w:val="007A6FA5"/>
    <w:rsid w:val="007B3110"/>
    <w:rsid w:val="007C48A7"/>
    <w:rsid w:val="007D56FB"/>
    <w:rsid w:val="007E354F"/>
    <w:rsid w:val="007E65F4"/>
    <w:rsid w:val="007F0552"/>
    <w:rsid w:val="007F1D37"/>
    <w:rsid w:val="007F38AA"/>
    <w:rsid w:val="007F6EFA"/>
    <w:rsid w:val="00807BCB"/>
    <w:rsid w:val="00810CF1"/>
    <w:rsid w:val="008123EE"/>
    <w:rsid w:val="00812829"/>
    <w:rsid w:val="00812D16"/>
    <w:rsid w:val="008157B4"/>
    <w:rsid w:val="0082241B"/>
    <w:rsid w:val="008226CF"/>
    <w:rsid w:val="00824670"/>
    <w:rsid w:val="0084041A"/>
    <w:rsid w:val="008406D6"/>
    <w:rsid w:val="00842334"/>
    <w:rsid w:val="008473AD"/>
    <w:rsid w:val="00850574"/>
    <w:rsid w:val="0085233A"/>
    <w:rsid w:val="00854ACB"/>
    <w:rsid w:val="00860745"/>
    <w:rsid w:val="00862C7B"/>
    <w:rsid w:val="00865F52"/>
    <w:rsid w:val="00872F82"/>
    <w:rsid w:val="00883F8D"/>
    <w:rsid w:val="00891299"/>
    <w:rsid w:val="008A10A9"/>
    <w:rsid w:val="008A22B9"/>
    <w:rsid w:val="008B051B"/>
    <w:rsid w:val="008B7F65"/>
    <w:rsid w:val="008C23A1"/>
    <w:rsid w:val="008C4F5D"/>
    <w:rsid w:val="008C5C49"/>
    <w:rsid w:val="008D4EFC"/>
    <w:rsid w:val="008D5101"/>
    <w:rsid w:val="008D5735"/>
    <w:rsid w:val="008E0E93"/>
    <w:rsid w:val="008F3449"/>
    <w:rsid w:val="008F6456"/>
    <w:rsid w:val="00900E1B"/>
    <w:rsid w:val="009039C1"/>
    <w:rsid w:val="00914895"/>
    <w:rsid w:val="00917BE9"/>
    <w:rsid w:val="009237E9"/>
    <w:rsid w:val="00925BE8"/>
    <w:rsid w:val="009267E3"/>
    <w:rsid w:val="00926F1E"/>
    <w:rsid w:val="00927898"/>
    <w:rsid w:val="00936C43"/>
    <w:rsid w:val="009375D0"/>
    <w:rsid w:val="0094137F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2812"/>
    <w:rsid w:val="009A67CA"/>
    <w:rsid w:val="009B1006"/>
    <w:rsid w:val="009B3252"/>
    <w:rsid w:val="009B6961"/>
    <w:rsid w:val="009C1C69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6846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6BBB"/>
    <w:rsid w:val="00A7741D"/>
    <w:rsid w:val="00A80242"/>
    <w:rsid w:val="00A813D8"/>
    <w:rsid w:val="00A8689C"/>
    <w:rsid w:val="00A94B55"/>
    <w:rsid w:val="00A97C52"/>
    <w:rsid w:val="00AA1999"/>
    <w:rsid w:val="00AB1A19"/>
    <w:rsid w:val="00AB23A9"/>
    <w:rsid w:val="00AC1328"/>
    <w:rsid w:val="00AC2C72"/>
    <w:rsid w:val="00AD3473"/>
    <w:rsid w:val="00AD35C2"/>
    <w:rsid w:val="00AD4D55"/>
    <w:rsid w:val="00AD55AB"/>
    <w:rsid w:val="00AE0FD4"/>
    <w:rsid w:val="00AE2203"/>
    <w:rsid w:val="00AE3F8D"/>
    <w:rsid w:val="00AE408D"/>
    <w:rsid w:val="00AF7861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57B02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976A1"/>
    <w:rsid w:val="00BA08CF"/>
    <w:rsid w:val="00BA7C50"/>
    <w:rsid w:val="00BB0146"/>
    <w:rsid w:val="00BB56AE"/>
    <w:rsid w:val="00BC5209"/>
    <w:rsid w:val="00BD40D2"/>
    <w:rsid w:val="00BD4DAD"/>
    <w:rsid w:val="00BE2DB4"/>
    <w:rsid w:val="00BE3B30"/>
    <w:rsid w:val="00BE5498"/>
    <w:rsid w:val="00BE6814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A080F"/>
    <w:rsid w:val="00CA5AB3"/>
    <w:rsid w:val="00CB12E4"/>
    <w:rsid w:val="00CB466F"/>
    <w:rsid w:val="00CB5B91"/>
    <w:rsid w:val="00CC07B0"/>
    <w:rsid w:val="00CC2C23"/>
    <w:rsid w:val="00CC5845"/>
    <w:rsid w:val="00CE06D2"/>
    <w:rsid w:val="00CF1166"/>
    <w:rsid w:val="00CF2B0F"/>
    <w:rsid w:val="00CF3A67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1551"/>
    <w:rsid w:val="00DA2AA5"/>
    <w:rsid w:val="00DA2FED"/>
    <w:rsid w:val="00DB3BFF"/>
    <w:rsid w:val="00DC7BAE"/>
    <w:rsid w:val="00DD13BE"/>
    <w:rsid w:val="00DD6CD7"/>
    <w:rsid w:val="00DE6776"/>
    <w:rsid w:val="00DF202E"/>
    <w:rsid w:val="00DF75C8"/>
    <w:rsid w:val="00E01C2C"/>
    <w:rsid w:val="00E0377F"/>
    <w:rsid w:val="00E07F33"/>
    <w:rsid w:val="00E113D7"/>
    <w:rsid w:val="00E16C96"/>
    <w:rsid w:val="00E16F49"/>
    <w:rsid w:val="00E23482"/>
    <w:rsid w:val="00E265E0"/>
    <w:rsid w:val="00E271C1"/>
    <w:rsid w:val="00E33269"/>
    <w:rsid w:val="00E43C31"/>
    <w:rsid w:val="00E44A49"/>
    <w:rsid w:val="00E45290"/>
    <w:rsid w:val="00E542FD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362"/>
    <w:rsid w:val="00EB588C"/>
    <w:rsid w:val="00EC213E"/>
    <w:rsid w:val="00ED2480"/>
    <w:rsid w:val="00ED2871"/>
    <w:rsid w:val="00ED585A"/>
    <w:rsid w:val="00ED6B1C"/>
    <w:rsid w:val="00EE25A3"/>
    <w:rsid w:val="00EE6A39"/>
    <w:rsid w:val="00F0057D"/>
    <w:rsid w:val="00F12797"/>
    <w:rsid w:val="00F164D0"/>
    <w:rsid w:val="00F20D8C"/>
    <w:rsid w:val="00F2397F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569B"/>
    <w:rsid w:val="00F674C8"/>
    <w:rsid w:val="00F7365F"/>
    <w:rsid w:val="00F73A44"/>
    <w:rsid w:val="00F77641"/>
    <w:rsid w:val="00F812CC"/>
    <w:rsid w:val="00F8751C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C6633"/>
    <w:rsid w:val="00FD1660"/>
    <w:rsid w:val="00FD3BC9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91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812"/>
    <w:pPr>
      <w:ind w:left="720"/>
      <w:contextualSpacing/>
      <w:jc w:val="left"/>
    </w:pPr>
  </w:style>
  <w:style w:type="paragraph" w:styleId="a4">
    <w:name w:val="Normal (Web)"/>
    <w:basedOn w:val="a"/>
    <w:uiPriority w:val="99"/>
    <w:rsid w:val="005B35B9"/>
    <w:pPr>
      <w:spacing w:before="100" w:beforeAutospacing="1" w:after="100" w:afterAutospacing="1"/>
      <w:jc w:val="left"/>
    </w:pPr>
    <w:rPr>
      <w:rFonts w:ascii="Verdana" w:hAnsi="Verdana"/>
      <w:sz w:val="20"/>
      <w:szCs w:val="20"/>
    </w:rPr>
  </w:style>
  <w:style w:type="character" w:styleId="a5">
    <w:name w:val="Hyperlink"/>
    <w:basedOn w:val="a0"/>
    <w:uiPriority w:val="99"/>
    <w:unhideWhenUsed/>
    <w:rsid w:val="00BA7C5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745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s.org/publ/bcbs12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16</cp:revision>
  <dcterms:created xsi:type="dcterms:W3CDTF">2012-09-03T07:57:00Z</dcterms:created>
  <dcterms:modified xsi:type="dcterms:W3CDTF">2012-09-24T11:58:00Z</dcterms:modified>
</cp:coreProperties>
</file>